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DejaVu Sans" w:hAnsi="DejaVu Sans" w:eastAsia="DejaVu Sans" w:cs="DejaVu Sans"/>
                <w:color w:val="000000"/>
                <w:sz w:val="24"/>
              </w:rPr>
              <w:t xml:space="preserve"> Izvještaj o sprovođenju plana integriteta za 2022. godinu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 „Sportski centar“ DOO Rožaje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REGISTAR RIZIKA</w:t>
            </w:r>
          </w:p>
        </w:tc>
        <w:tc>
          <w:tcPr>
            <w:gridSpan w:val="5"/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PROCJENE I MJERENJE RIZIKA</w:t>
            </w:r>
          </w:p>
        </w:tc>
        <w:tc>
          <w:tcPr>
            <w:gridSpan w:val="3"/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REAGOVANJE NA RIZIK</w:t>
            </w:r>
          </w:p>
        </w:tc>
        <w:tc>
          <w:tcPr>
            <w:gridSpan w:val="2"/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PREGLED I IZVJEŠTAVANJE O RIZICIMA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Oblasti rizika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Radna mjesta</w:t>
            </w:r>
          </w:p>
        </w:tc>
        <w:tc>
          <w:tcPr>
            <w:shd w:val="clear" w:color="auto" w:fill="A6A0FF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Osnovni rizici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Postojeće mjere kontrole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Preostali rizici(rezidualni)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Vjer.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Posljedice</w:t>
            </w:r>
          </w:p>
        </w:tc>
        <w:tc>
          <w:tcPr>
            <w:shd w:val="clear" w:color="auto" w:fill="98BDF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Procjena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  <w:jc w:val="left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Predložene mjere za smanjenje/otklanjanje rizika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Ogovorna osoba</w:t>
            </w:r>
          </w:p>
        </w:tc>
        <w:tc>
          <w:tcPr>
            <w:shd w:val="clear" w:color="auto" w:fill="FFFF9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Rok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St.</w:t>
            </w:r>
          </w:p>
        </w:tc>
        <w:tc>
          <w:tcPr>
            <w:shd w:val="clear" w:color="auto" w:fill="F287EB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80" w:right="80"/>
            </w:pPr>
            <w:r>
              <w:rPr>
                <w:rFonts w:ascii="SansSerif" w:hAnsi="SansSerif" w:eastAsia="SansSerif" w:cs="SansSerif"/>
                <w:color w:val="000000"/>
                <w:sz w:val="16"/>
              </w:rPr>
              <w:t xml:space="preserve">Kratak opis i ocjena realizacije mjere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4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6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6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6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odluka pod eksternim uticajem, suprotno javnom interesu zbog nepostojanja jasnih propisa za korišćenje,  diskrecionih ovlašćenja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Poštovanje principa transparentnosti prilikom donošenja odluka iz nadležnosti preduzeća;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Poštovani su principi transparentnosti prilikom donošenja odluka iz nadležnosti preduzeća.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9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Utvrđivanje jasnih pravila o korišćenju diskrecionih ovlašćenja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 Jasno smo utvrdili pravila o korišćenju diskrecionih ovlašćenja.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0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0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0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Negativna ocjena javnog mnjenja i gubitak povjerenja javnosti u rad preduzeća  zbog nedovoljne transparentnosti i informisanja javnosti o njenom radu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Proaktivno objavljivati  informacije iz člana 12 Zakona o slobodnom pristupu informacijama, kao i druge informacije od javnog interesa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Proaktivno objavljujemo informacije iz člana  o slobodnom pristupu informacijama, kao i druge informacije od javnog interesa.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5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5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5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integriteta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5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Negativna ocjena javnog mnjenja i gubitak povjerenja javnosti u rad preduzeća  zbog nedovoljne transparentnosti i informisanja javnosti o njenom radu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Obezbijediti kontinuiranu i kvalitetnu informisanost stručne i šire javnost o radu i uslugama  preduzeća.           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Obezbijedili smo kontinuiranu i kvalitetnu informisanost stručne i šire javnost o radu i uslugama preduzeća,</w:t>
                          <w:br/>
                          <w:t xml:space="preserve">preko našeg sajta i facebook stranice.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8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0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0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Povrede profesionalnih, etičkih pravila i pristrasno ponašanje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0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Povreda zakonitosti pri donošenju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Utvrđivanje jasnih pravila o korišćenju diskrecionih ovlašćenja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Utvrdili smo  jasna pravila o korišćenju diskrecionih ovlašćenja.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3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5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Narušavanje principa transparentnosti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Mogućnost ulaganja žalbi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3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trasnparentnost rada preduzeća i informisanost usljed neažuriranja internet stranice preduzeća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Unaprijediti dostupnost i preglednost relevantnih dokumenata i informacija na internet stranic(Statut, Odluke, itd)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 Redovno unapređujemo dostupnost i preglednost relevantnih dokumenata i informacija na internet stranici.</w:t>
                        </w:r>
                      </w:p>
                    </w:tc>
                  </w:tr>
                  <w:tr>
                    <w:trPr>
                      <w:trHeight w:hRule="exact" w:val="1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Unaprijediti i redovno ažurirati web stranicu preduzeća i dostupnost relevantnih podataka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Unaprijeđujemo i redovno ažuriramo web stranicu preduzeća i dostupni su svi  relevantni podaci.</w:t>
                        </w:r>
                      </w:p>
                    </w:tc>
                  </w:tr>
                  <w:tr>
                    <w:trPr>
                      <w:trHeight w:hRule="exact" w:val="1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0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9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strateško planiranje rada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0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Odstupanja u sprovođenju strateških dokumenata, planova i programa</w:t>
                          <w:br/>
                          <w:br/>
                          <w:t xml:space="preserve">Nedovoljna i nekoordinisana saradnja između različitih radnih jedinica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u toku godine izvještavati o sprovođenju planova i programa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Redovno u toku godine izvještavamo o sprovođenju planova i programa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rukovodioci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5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praćenje i ocjena efekata primjene strategija, akcionih planova, zakona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Redovno pratimo i ocjenjujemo efekate primjene strategija, akcionih planova, zakona</w:t>
                        </w:r>
                      </w:p>
                    </w:tc>
                  </w:tr>
                  <w:tr>
                    <w:trPr>
                      <w:trHeight w:hRule="exact" w:val="1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8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8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1.6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Rukovođenje i upravljanje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8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praćenje relevantnih propisa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Odrediti lice zaduženo za praćenje propisa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Određeno je lice zaduženo za praćenje propisa.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menadžer integriteta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2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2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2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2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poklona (javnih funkcionera) suprotno odredbama Zakona o sprječavanju korupcije</w:t>
                          <w:br/>
                          <w:t xml:space="preserve">Nepoštovanje zakonske obaveze evidentiranja primljenih poklona i njihove vrijednosti</w:t>
                          <w:br/>
                          <w:t xml:space="preserve">Nedostavljanje Agenciji za sprječavanje korupcije izvoda iz evidencije poklona </w:t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Odrediti lice koje je zaduženo za evidenciju poklona javnih funkcionera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Određeno je lice koje je zaduženo za evidenciju poklona javnih funkcionera</w:t>
                        </w:r>
                      </w:p>
                    </w:tc>
                  </w:tr>
                  <w:tr>
                    <w:trPr>
                      <w:trHeight w:hRule="exact" w:val="10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Vršiti redovnu kontrolu evidencije o primljenim poklonima</w:t>
                          <w:br/>
                          <w:t xml:space="preserve">Donijeti interno uputstvo o vođenju evidencije primljenih poklona</w:t>
                          <w:br/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Vršimo redovnu kontrolu evidencije o primljenim poklonima i donijeli smo </w:t>
                        </w:r>
                      </w:p>
                    </w:tc>
                  </w:tr>
                  <w:tr>
                    <w:trPr>
                      <w:trHeight w:hRule="exact" w:val="10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6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6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6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nedozvoljenih poklona ili druge nedozvoljene koristi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sprječavanju korupcije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6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Primanje poklona (javnih funkcionera) suprotno odredbama Zakona o sprječavanju korupcije</w:t>
                          <w:br/>
                          <w:t xml:space="preserve">Nepoštovanje zakonske obaveze evidentiranja primljenih poklona i njihove vrijednosti</w:t>
                          <w:br/>
                          <w:t xml:space="preserve">Nedostavljanje Agenciji za sprječavanje korupcije izvoda iz evidencije poklona </w:t>
                          <w:br/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11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interno uputstvo o vođenju evidencije primljenih poklona</w:t>
                        </w: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Dostaviti Agenciji za sprječavanje korupcije izvod iz evidencije poklona na propisanom obrascu, do kraja marta tekuće godine za prethodnu godinu (član 19 ZSK)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Dostavili smo Agenciji za sprječavanje korupcije izvod iz evidencije poklona na propisanom obrascu,</w:t>
                        </w:r>
                      </w:p>
                    </w:tc>
                  </w:tr>
                  <w:tr>
                    <w:trPr>
                      <w:trHeight w:hRule="exact" w:val="1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4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64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64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Neprijavljivanje korupcije i drugih nezakonitih radnji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Obuke i seminari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64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Nedovoljan razvijen nivo svijesti zaposlenih za prijavljivanje korupcije i drugih nezakonitih radnji unutar preduzeća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Edukacija zaposlenih o mehanizmima prijavljivanja korupcije i drugih nezakonitih radnji unutar preduzeća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Edukovani su zaposlenih o mehanizmima prijavljivanja korupcije i drugih nezakonitih radnji unutar preduzeća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0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Uvesti edukaciju prema ciljnim grupama posebno prema zaposlenima koji pokrivaju rizične grupe poslova i uvesti obavezu da se na svim kolegijumima raspravlja i o temi integriteta i prevencije korupcije kao jednoj od obaveznih tačaka dnevnog reda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Na svim kolegijumima se raspravlja  o temi integriteta i prevencije korupcije kao jednoj od obaveznih tačaka dnevnog reda.  Uvedena je edukacija prema ciljnim grupama.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1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4" w:name="JR_PAGE_ANCHOR_0_5"/>
            <w:bookmarkEnd w:id="4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9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9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Neprijavljivanje korupcije i drugih nezakonitih radnji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Obuke i seminari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9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Nedovoljan razvijen nivo svijesti zaposlenih za prijavljivanje korupcije i drugih nezakonitih radnji unutar preduzeća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800"/>
                    <w:gridCol w:w="400"/>
                    <w:gridCol w:w="1200"/>
                  </w:tblGrid>
                  <w:tr>
                    <w:trPr>
                      <w:trHeight w:hRule="exact" w:val="94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4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4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2.3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Kadrovska politika, etično i profesionalno ponašanje zaposlenih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Nesavjestan rad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pravila i procedure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4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Nedostatak stručnog znanja i vještina kadra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Obezbijediti stručnim radnicima i saradnicima stručno usavršavanje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Obezbijđeno je stručnim radnicima i saradnicima stručno usavršavanje.</w:t>
                          <w:br/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Sprovoditi obuke zaposlenih o etici i integritetu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Sprovode se obuke zaposlenih o etici i integritetu.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sektora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5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5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5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Donošenje nezakonitih odluka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Iskorišćavanje javne funkcije ili službenog položaja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Sukob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Verifikacija od strane kolega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5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Postoji mogućnost davanja prednosti određenoj firmi kroz neobjektivno bodovanje pristiglih ponuda zbog prijateljskih i rođačkih veza (klijentelizam, nepotizam, kronizam) ili sukoba interesa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Unijeti antikorupcijsku klauzulu u sve ugovore o javnim nabavkama (član 15 ZJN)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Unijeta je antikorupcijska klauzulua u sve ugovore o javnim nabavkama.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Provjera izjava o nepostojanju sukoba interesa članova tenderskih komisija i službenika za javne nabavke i obrazaca za imovinu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Provjerene su  izjavae o postojanju sukoba interesa članova tenderskih komisija i službenika za javne nabavke i obrazaca za imovinu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članovi komisije za otvaranje i vrednovanje ponuda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8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5" w:name="JR_PAGE_ANCHOR_0_6"/>
            <w:bookmarkEnd w:id="5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00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500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9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3.2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50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Osigurati učešće svih relevantnih subjekata i jedinica prilikom planiranja budžeta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↔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Osigurano je učešće svih relevantnih subjekata i jedinica prilikom planiranja budžeta.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Pohađati relevantne obuke i seminare na temu planiranja budžeta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Pohađaju se relevantne obuke i seminare na temu planiranja budžeta</w:t>
                        </w:r>
                      </w:p>
                    </w:tc>
                  </w:tr>
                  <w:tr>
                    <w:trPr>
                      <w:trHeight w:hRule="exact" w:val="5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0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0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3.3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finansijske službe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planiranje i izvršavanje budžeta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Podzakonska akta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0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i nedovoljno transparentno trošenje budžetskih sredstava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16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sprovođenje unutrašnjih finansijskih kontrola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Redovno se sprovođe unutrašnje finansijske kontrole.</w:t>
                        </w:r>
                      </w:p>
                    </w:tc>
                  </w:tr>
                  <w:tr>
                    <w:trPr>
                      <w:trHeight w:hRule="exact" w:val="6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Postupati po preporukama iz izvještaja o izvršenoj reviziji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Postupa se po preporukama iz izvještaja o izvršenoj reviziji</w:t>
                        </w:r>
                      </w:p>
                    </w:tc>
                  </w:tr>
                  <w:tr>
                    <w:trPr>
                      <w:trHeight w:hRule="exact" w:val="6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98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98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9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postupaka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Ugovor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98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Odstupanje od realizacije aktivnosti predviđenih ugovorima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Godišnje izvještavanje rukovodstva o realizaciji ugoovra o javnim nabavkama 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Godišnje se izvještava rukovodstvo o realizaciji ugoovra o javnim nabavkama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8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160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6" w:name="JR_PAGE_ANCHOR_0_7"/>
            <w:bookmarkEnd w:id="6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10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10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3.4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Neadekvatno sprovođenje postupaka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Zakoni i podzakonska akta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Izvještaj o radu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Ugovor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10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Odstupanje od realizacije aktivnosti predviđenih ugovorima o javnoj nabavci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7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444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44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3.5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javnim nabavkama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44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Nedovoljna transparentnost javnih nabavki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narandzast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12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ugovore i sve anekse ugovora na internet stranici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Objavljiuju se ugovori   i aneksi ugovora na internet stranici.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Objavljivati pozive za učešće u postupcima javnih nabavki i druge dokumente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Objavljuju se pozivi za učešće u postupcima javnih nabavki.</w:t>
                        </w:r>
                      </w:p>
                    </w:tc>
                  </w:tr>
                  <w:tr>
                    <w:trPr>
                      <w:trHeight w:hRule="exact" w:val="3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službenik za javne nabavke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5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32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332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3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3.6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Planiranje i upravljanje finansijama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Iskorišćavanje javne funkcije ili službenog položaja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Interna akta institucije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332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Nije obezbijeđen adekvatan sistem kontrole nad korišćenjem službenih vozila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Donijeti interni procedure o koriscenju sluzbenih vozila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↑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Nemamo službeno vozilo.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Sprovoditi redovne kontrole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Sprovode se redovne kontrole</w:t>
                        </w: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rukovodilac službe opštih poslova</w:t>
                        </w: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4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6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1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22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22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4.1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Čuvanje i bezbjednost podataka i dokumenata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tajnosti podataka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22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Neobjavljivanje dokumenata shodno Zakono o tajnosti podataka.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Redovno objavljivati i ažurirati propise koji regulišu rad preduzeća na internet stranici, u skladu sa zakonom o tajnosti podataka.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kontinuirano</w:t>
                        </w: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Realizovano</w:t>
                          <w:br/>
                          <w:br/>
                          <w:t xml:space="preserve">Redovno se objavljuju dokumenta  na internet stranici, u skladu sa zakonom o tajnosti podataka.</w:t>
                        </w:r>
                      </w:p>
                    </w:tc>
                  </w:tr>
                  <w:tr>
                    <w:trPr>
                      <w:trHeight w:hRule="exact" w:val="142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300"/>
                    </w:trPr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22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4200"/>
        <w:gridCol w:w="4800"/>
        <w:gridCol w:w="1400"/>
        <w:gridCol w:w="5600"/>
        <w:gridCol w:w="40"/>
      </w:tblGrid>
      <w:tr>
        <w:trPr>
          <w:trHeight w:hRule="exact" w:val="0"/>
        </w:trPr>
        <w:tc>
          <w:tcPr>
     </w:tcPr>
          <w:p>
            <w:pPr>
              <w:pStyle w:val="EMPTY_CELL_STYLE"/>
              <w:pageBreakBefore/>
            </w:pPr>
            <w:bookmarkStart w:id="7" w:name="JR_PAGE_ANCHOR_0_8"/>
            <w:bookmarkEnd w:id="7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>
              <w:trPr>
                <w:trHeight w:hRule="exact" w:val="760"/>
              </w:trPr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400"/>
                    <w:gridCol w:w="1200"/>
                  </w:tblGrid>
                  <w:tr>
                    <w:trPr>
                      <w:trHeight w:hRule="exact" w:val="7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20"/>
                          </w:rPr>
                          <w:t xml:space="preserve">4.1</w:t>
                        </w: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Čuvanje i bezbjednost podataka i dokumenata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0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direktor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54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Nedozvoljeno lobiranje ili drugi nejavni uticaj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600"/>
                    <w:gridCol w:w="1600"/>
                  </w:tblGrid>
                  <w:tr>
                    <w:trPr>
                      <w:trHeight w:hRule="exact" w:val="3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Zakon o tajnosti podataka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2000"/>
                    <w:gridCol w:w="2000"/>
                  </w:tblGrid>
                  <w:tr>
                    <w:trPr>
                      <w:trHeight w:hRule="exact" w:val="760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 w:right="40"/>
                        </w:pPr>
                        <w:r>
                          <w:rPr>
                            <w:rFonts w:ascii="SansSerif" w:hAnsi="SansSerif" w:eastAsia="SansSerif" w:cs="SansSerif"/>
                            <w:color w:val="000000"/>
                            <w:sz w:val="16"/>
                          </w:rPr>
                          <w:t xml:space="preserve">Neobjavljivanje dokumenata shodno Zakono o tajnosti podataka. 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20"/>
                    </w:trPr>
                    <w:tc>
                      <w:tcPr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>
                          <w:trPr>
                            <w:trHeight w:hRule="exact" w:val="620"/>
                          </w:trPr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  <w:tc>
                            <w:tcPr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Layout w:type="fixed"/>
                              </w:tblPr>
                              <w:tblGrid>
                                <w:gridCol w:w="400"/>
                                <w:gridCol w:w="400"/>
                              </w:tblGrid>
                              <w:tr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top"/>
                                  </w:tcPr>
                                  <w:p>
                                    <w:pPr>
                                      <w:pStyle w:val="zelena"/>
                                      <w:ind/>
                                      <w:jc w:val="center"/>
                                    </w:pPr>
                                    <w:r>
                                      <w:rPr>
       </w:rPr>
                                      <w:t xml:space="preserve">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EMPTY_CELL_STYLE"/>
                              </w:pP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400"/>
                    <w:gridCol w:w="1400"/>
                    <w:gridCol w:w="400"/>
                    <w:gridCol w:w="1200"/>
                  </w:tblGrid>
                  <w:tr>
                    <w:trPr>
                      <w:trHeight w:hRule="exact" w:val="30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ind w:left="40"/>
                        </w:pPr>
                      </w:p>
                    </w:tc>
                    <w:tc>
                      <w:tcPr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Layout w:type="fixed"/>
                        </w:tblPr>
                        <w:tblGrid>
                          <w:gridCol w:w="400"/>
                          <w:gridCol w:w="400"/>
                        </w:tblGrid>
                        <w:tr>
                          <w:trPr>
                            <w:trHeight w:hRule="exact" w:val="600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top"/>
                            </w:tcPr>
                            <w:p>
                              <w:pPr>
                                <w:ind/>
                                <w:jc w:val="center"/>
                              </w:pPr>
                              <w:r>
                                <w:rPr>
                                  <w:rFonts w:ascii="DejaVu Sans" w:hAnsi="DejaVu Sans" w:eastAsia="DejaVu Sans" w:cs="DejaVu Sans"/>
                                  <w:color w:val="000000"/>
                                  <w:sz w:val="20"/>
                                </w:rPr>
                                <w:t xml:space="preserve">↓</w:t>
                              </w:r>
                            </w:p>
                          </w:tc>
                        </w:tr>
                      </w:tbl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  <w:tr>
                    <w:trPr>
                      <w:trHeight w:hRule="exact" w:val="460"/>
                    </w:trPr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                   <w:vMerge w:val="continue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pStyle w:val="EMPTY_CELL_STYLE"/>
                        </w:pPr>
                      </w:p>
                    </w:tc>
                    <w:tc>
                      <w:tcPr>
     </w:tcPr>
                      <w:p>
                        <w:pPr>
                          <w:pStyle w:val="EMPTY_CELL_STYLE"/>
                        </w:pP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PODNOSILAC IZVJEŠTAJA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STARJEŠINA/ODGOVORNO LICE U ORGANU VLASTI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Menadžer integriteta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lef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__________________________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/>
              <w:jc w:val="right"/>
            </w:pPr>
            <w:r>
              <w:rPr>
                <w:rFonts w:ascii="DejaVu Sans" w:hAnsi="DejaVu Sans" w:eastAsia="DejaVu Sans" w:cs="DejaVu Sans"/>
                <w:color w:val="000000"/>
                <w:sz w:val="22"/>
                <w:b w:val="true"/>
              </w:rPr>
              <w:t xml:space="preserve">__________________________</w:t>
            </w: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6840" w:h="11900" w:orient="landscape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TH">
    <w:name w:val="Table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CH">
    <w:name w:val="Table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_TD">
    <w:name w:val="Table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narandzasta">
    <w:name w:val="narandzast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zelena">
    <w:name w:val="zel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crvena">
    <w:name w:val="crvena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Style1">
    <w:name w:val="Style1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